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20617"/>
          <w:sz w:val="42"/>
        </w:rPr>
        <w:t>Allergen Risk Assessment Template</w:t>
      </w:r>
    </w:p>
    <w:p>
      <w:pPr>
        <w:spacing w:after="160"/>
      </w:pPr>
      <w:r>
        <w:rPr>
          <w:color w:val="475569"/>
          <w:sz w:val="18"/>
        </w:rPr>
        <w:t>For small UK food businesses. Adapt this template to your own premises, equipment, staff, processes and local authority requirements.</w:t>
      </w:r>
    </w:p>
    <w:tbl>
      <w:tblPr>
        <w:tblW w:type="auto" w:w="0"/>
        <w:jc w:val="center"/>
        <w:tblLook w:firstColumn="1" w:firstRow="1" w:lastColumn="0" w:lastRow="0" w:noHBand="0" w:noVBand="1" w:val="04A0"/>
        <w:tblBorders>
          <w:top w:val="single" w:sz="4" w:space="0" w:color="cbd5e1"/>
          <w:left w:val="single" w:sz="4" w:space="0" w:color="cbd5e1"/>
          <w:bottom w:val="single" w:sz="4" w:space="0" w:color="cbd5e1"/>
          <w:right w:val="single" w:sz="4" w:space="0" w:color="cbd5e1"/>
          <w:insideH w:val="single" w:sz="4" w:space="0" w:color="cbd5e1"/>
          <w:insideV w:val="single" w:sz="4" w:space="0" w:color="cbd5e1"/>
        </w:tblBorders>
      </w:tblPr>
      <w:tblGrid>
        <w:gridCol w:w="2736"/>
        <w:gridCol w:w="2736"/>
        <w:gridCol w:w="2736"/>
        <w:gridCol w:w="2736"/>
      </w:tblGrid>
      <w:tr>
        <w:tc>
          <w:tcPr>
            <w:tcW w:type="dxa" w:w="2736"/>
            <w:shd w:fill="020617"/>
          </w:tcPr>
          <w:p>
            <w:pPr>
              <w:jc w:val="left"/>
            </w:pPr>
            <w:r/>
            <w:r>
              <w:rPr>
                <w:b/>
                <w:color w:val="FFFFFF"/>
                <w:sz w:val="17"/>
              </w:rPr>
              <w:t>Business name</w:t>
            </w:r>
          </w:p>
        </w:tc>
        <w:tc>
          <w:tcPr>
            <w:tcW w:type="dxa" w:w="2736"/>
            <w:shd w:fill="020617"/>
          </w:tcPr>
          <w:p>
            <w:pPr>
              <w:jc w:val="left"/>
            </w:pPr>
            <w:r/>
            <w:r>
              <w:rPr>
                <w:b/>
                <w:color w:val="FFFFFF"/>
                <w:sz w:val="17"/>
              </w:rPr>
              <w:t>Site / area</w:t>
            </w:r>
          </w:p>
        </w:tc>
        <w:tc>
          <w:tcPr>
            <w:tcW w:type="dxa" w:w="2736"/>
            <w:shd w:fill="020617"/>
          </w:tcPr>
          <w:p>
            <w:pPr>
              <w:jc w:val="left"/>
            </w:pPr>
            <w:r/>
            <w:r>
              <w:rPr>
                <w:b/>
                <w:color w:val="FFFFFF"/>
                <w:sz w:val="17"/>
              </w:rPr>
              <w:t>Completed by</w:t>
            </w:r>
          </w:p>
        </w:tc>
        <w:tc>
          <w:tcPr>
            <w:tcW w:type="dxa" w:w="2736"/>
            <w:shd w:fill="020617"/>
          </w:tcPr>
          <w:p>
            <w:pPr>
              <w:jc w:val="left"/>
            </w:pPr>
            <w:r/>
            <w:r>
              <w:rPr>
                <w:b/>
                <w:color w:val="FFFFFF"/>
                <w:sz w:val="17"/>
              </w:rPr>
              <w:t>Review date</w:t>
            </w:r>
          </w:p>
        </w:tc>
      </w:tr>
      <w:tr>
        <w:tc>
          <w:tcPr>
            <w:tcW w:type="dxa" w:w="2736"/>
          </w:tcPr>
          <w:p>
            <w:pPr>
              <w:jc w:val="left"/>
            </w:pPr>
            <w:r/>
            <w:r>
              <w:rPr>
                <w:b w:val="0"/>
                <w:sz w:val="17"/>
              </w:rPr>
            </w:r>
          </w:p>
        </w:tc>
        <w:tc>
          <w:tcPr>
            <w:tcW w:type="dxa" w:w="2736"/>
          </w:tcPr>
          <w:p>
            <w:pPr>
              <w:jc w:val="left"/>
            </w:pPr>
            <w:r/>
            <w:r>
              <w:rPr>
                <w:b w:val="0"/>
                <w:sz w:val="17"/>
              </w:rPr>
            </w:r>
          </w:p>
        </w:tc>
        <w:tc>
          <w:tcPr>
            <w:tcW w:type="dxa" w:w="2736"/>
          </w:tcPr>
          <w:p>
            <w:pPr>
              <w:jc w:val="left"/>
            </w:pPr>
            <w:r/>
            <w:r>
              <w:rPr>
                <w:b w:val="0"/>
                <w:sz w:val="17"/>
              </w:rPr>
            </w:r>
          </w:p>
        </w:tc>
        <w:tc>
          <w:tcPr>
            <w:tcW w:type="dxa" w:w="2736"/>
          </w:tcPr>
          <w:p>
            <w:pPr>
              <w:jc w:val="left"/>
            </w:pPr>
            <w:r/>
            <w:r>
              <w:rPr>
                <w:b w:val="0"/>
                <w:sz w:val="17"/>
              </w:rPr>
            </w:r>
          </w:p>
        </w:tc>
      </w:tr>
    </w:tbl>
    <w:p/>
    <w:p>
      <w:r>
        <w:rPr>
          <w:b/>
          <w:color w:val="020617"/>
          <w:sz w:val="24"/>
        </w:rPr>
        <w:t>How to use this template</w:t>
      </w:r>
    </w:p>
    <w:p>
      <w:pPr>
        <w:pStyle w:val="ListBullet"/>
        <w:spacing w:after="0"/>
      </w:pPr>
      <w:r>
        <w:rPr>
          <w:sz w:val="17"/>
        </w:rPr>
        <w:t>Walk around the premises and identify hazards that could cause injury, illness or a serious food safety issue.</w:t>
      </w:r>
    </w:p>
    <w:p>
      <w:pPr>
        <w:pStyle w:val="ListBullet"/>
        <w:spacing w:after="0"/>
      </w:pPr>
      <w:r>
        <w:rPr>
          <w:sz w:val="17"/>
        </w:rPr>
        <w:t>Record who could be harmed, what controls are already in place and what further action is needed.</w:t>
      </w:r>
    </w:p>
    <w:p>
      <w:pPr>
        <w:pStyle w:val="ListBullet"/>
        <w:spacing w:after="0"/>
      </w:pPr>
      <w:r>
        <w:rPr>
          <w:sz w:val="17"/>
        </w:rPr>
        <w:t>Keep the completed version with your health and safety / food safety records and review it regularly.</w:t>
      </w:r>
    </w:p>
    <w:p>
      <w:pPr>
        <w:pStyle w:val="ListBullet"/>
        <w:spacing w:after="0"/>
      </w:pPr>
      <w:r>
        <w:rPr>
          <w:sz w:val="17"/>
        </w:rPr>
        <w:t>This is a starting point only. Delete anything irrelevant and add hazards specific to your business.</w:t>
      </w:r>
    </w:p>
    <w:p>
      <w:pPr>
        <w:pStyle w:val="ListBullet"/>
        <w:spacing w:after="0"/>
      </w:pPr>
      <w:r>
        <w:rPr>
          <w:sz w:val="17"/>
        </w:rPr>
        <w:t>Include menu items, ingredient changes, supplier changes and cross-contamination points in your review.</w:t>
      </w:r>
    </w:p>
    <w:p/>
    <w:tbl>
      <w:tblPr>
        <w:tblStyle w:val="TableGrid"/>
        <w:tblW w:type="auto" w:w="0"/>
        <w:jc w:val="center"/>
        <w:tblLook w:firstColumn="1" w:firstRow="1" w:lastColumn="0" w:lastRow="0" w:noHBand="0" w:noVBand="1" w:val="04A0"/>
        <w:tblBorders>
          <w:top w:val="single" w:sz="4" w:space="0" w:color="cbd5e1"/>
          <w:left w:val="single" w:sz="4" w:space="0" w:color="cbd5e1"/>
          <w:bottom w:val="single" w:sz="4" w:space="0" w:color="cbd5e1"/>
          <w:right w:val="single" w:sz="4" w:space="0" w:color="cbd5e1"/>
          <w:insideH w:val="single" w:sz="4" w:space="0" w:color="cbd5e1"/>
          <w:insideV w:val="single" w:sz="4" w:space="0" w:color="cbd5e1"/>
        </w:tblBorders>
      </w:tblPr>
      <w:tblGrid>
        <w:gridCol w:w="1563"/>
        <w:gridCol w:w="1563"/>
        <w:gridCol w:w="1563"/>
        <w:gridCol w:w="1563"/>
        <w:gridCol w:w="1563"/>
        <w:gridCol w:w="1563"/>
        <w:gridCol w:w="1563"/>
      </w:tblGrid>
      <w:tr>
        <w:tc>
          <w:tcPr>
            <w:tcW w:type="dxa" w:w="1944"/>
            <w:shd w:fill="020617"/>
            <w:vAlign w:val="center"/>
          </w:tcPr>
          <w:p>
            <w:pPr>
              <w:jc w:val="left"/>
            </w:pPr>
            <w:r/>
            <w:r>
              <w:rPr>
                <w:b/>
                <w:color w:val="FFFFFF"/>
                <w:sz w:val="14"/>
              </w:rPr>
              <w:t>Hazard</w:t>
            </w:r>
          </w:p>
        </w:tc>
        <w:tc>
          <w:tcPr>
            <w:tcW w:type="dxa" w:w="2088"/>
            <w:shd w:fill="020617"/>
            <w:vAlign w:val="center"/>
          </w:tcPr>
          <w:p>
            <w:pPr>
              <w:jc w:val="left"/>
            </w:pPr>
            <w:r/>
            <w:r>
              <w:rPr>
                <w:b/>
                <w:color w:val="FFFFFF"/>
                <w:sz w:val="14"/>
              </w:rPr>
              <w:t>Who may be harmed / how</w:t>
            </w:r>
          </w:p>
        </w:tc>
        <w:tc>
          <w:tcPr>
            <w:tcW w:type="dxa" w:w="3096"/>
            <w:shd w:fill="020617"/>
            <w:vAlign w:val="center"/>
          </w:tcPr>
          <w:p>
            <w:pPr>
              <w:jc w:val="left"/>
            </w:pPr>
            <w:r/>
            <w:r>
              <w:rPr>
                <w:b/>
                <w:color w:val="FFFFFF"/>
                <w:sz w:val="14"/>
              </w:rPr>
              <w:t>Existing controls</w:t>
            </w:r>
          </w:p>
        </w:tc>
        <w:tc>
          <w:tcPr>
            <w:tcW w:type="dxa" w:w="1296"/>
            <w:shd w:fill="020617"/>
            <w:vAlign w:val="center"/>
          </w:tcPr>
          <w:p>
            <w:pPr>
              <w:jc w:val="left"/>
            </w:pPr>
            <w:r/>
            <w:r>
              <w:rPr>
                <w:b/>
                <w:color w:val="FFFFFF"/>
                <w:sz w:val="14"/>
              </w:rPr>
              <w:t>Risk after controls</w:t>
            </w:r>
          </w:p>
        </w:tc>
        <w:tc>
          <w:tcPr>
            <w:tcW w:type="dxa" w:w="2376"/>
            <w:shd w:fill="020617"/>
            <w:vAlign w:val="center"/>
          </w:tcPr>
          <w:p>
            <w:pPr>
              <w:jc w:val="left"/>
            </w:pPr>
            <w:r/>
            <w:r>
              <w:rPr>
                <w:b/>
                <w:color w:val="FFFFFF"/>
                <w:sz w:val="14"/>
              </w:rPr>
              <w:t>Further action needed</w:t>
            </w:r>
          </w:p>
        </w:tc>
        <w:tc>
          <w:tcPr>
            <w:tcW w:type="dxa" w:w="1512"/>
            <w:shd w:fill="020617"/>
            <w:vAlign w:val="center"/>
          </w:tcPr>
          <w:p>
            <w:pPr>
              <w:jc w:val="left"/>
            </w:pPr>
            <w:r/>
            <w:r>
              <w:rPr>
                <w:b/>
                <w:color w:val="FFFFFF"/>
                <w:sz w:val="14"/>
              </w:rPr>
              <w:t>Person responsible</w:t>
            </w:r>
          </w:p>
        </w:tc>
        <w:tc>
          <w:tcPr>
            <w:tcW w:type="dxa" w:w="1440"/>
            <w:shd w:fill="020617"/>
            <w:vAlign w:val="center"/>
          </w:tcPr>
          <w:p>
            <w:pPr>
              <w:jc w:val="left"/>
            </w:pPr>
            <w:r/>
            <w:r>
              <w:rPr>
                <w:b/>
                <w:color w:val="FFFFFF"/>
                <w:sz w:val="14"/>
              </w:rPr>
              <w:t>Review / done date</w:t>
            </w:r>
          </w:p>
        </w:tc>
      </w:tr>
      <w:tr>
        <w:tc>
          <w:tcPr>
            <w:tcW w:type="dxa" w:w="1944"/>
            <w:vAlign w:val="top"/>
          </w:tcPr>
          <w:p>
            <w:pPr>
              <w:jc w:val="left"/>
            </w:pPr>
            <w:r/>
            <w:r>
              <w:rPr>
                <w:b w:val="0"/>
                <w:sz w:val="14"/>
              </w:rPr>
              <w:t>Incorrect allergen information</w:t>
            </w:r>
          </w:p>
        </w:tc>
        <w:tc>
          <w:tcPr>
            <w:tcW w:type="dxa" w:w="2088"/>
            <w:vAlign w:val="top"/>
          </w:tcPr>
          <w:p>
            <w:pPr>
              <w:jc w:val="left"/>
            </w:pPr>
            <w:r/>
            <w:r>
              <w:rPr>
                <w:b w:val="0"/>
                <w:sz w:val="14"/>
              </w:rPr>
              <w:t>Customers with food allergy/intolerance could become seriously ill if given wrong or incomplete allergen information.</w:t>
            </w:r>
          </w:p>
        </w:tc>
        <w:tc>
          <w:tcPr>
            <w:tcW w:type="dxa" w:w="3096"/>
            <w:vAlign w:val="top"/>
          </w:tcPr>
          <w:p>
            <w:pPr>
              <w:jc w:val="left"/>
            </w:pPr>
            <w:r/>
            <w:r>
              <w:rPr>
                <w:b w:val="0"/>
                <w:sz w:val="14"/>
              </w:rPr>
              <w:t>Menu allergens recorded; staff know where to find allergen information; changes checked before service; manager confirms updates.</w:t>
            </w:r>
          </w:p>
        </w:tc>
        <w:tc>
          <w:tcPr>
            <w:tcW w:type="dxa" w:w="1296"/>
            <w:vAlign w:val="top"/>
          </w:tcPr>
          <w:p>
            <w:pPr>
              <w:jc w:val="left"/>
            </w:pPr>
            <w:r/>
            <w:r>
              <w:rPr>
                <w:b w:val="0"/>
                <w:sz w:val="14"/>
              </w:rPr>
              <w:t>Medium</w:t>
            </w:r>
          </w:p>
        </w:tc>
        <w:tc>
          <w:tcPr>
            <w:tcW w:type="dxa" w:w="2376"/>
            <w:vAlign w:val="top"/>
          </w:tcPr>
          <w:p>
            <w:pPr>
              <w:jc w:val="left"/>
            </w:pPr>
            <w:r/>
            <w:r>
              <w:rPr>
                <w:b w:val="0"/>
                <w:sz w:val="14"/>
              </w:rPr>
              <w:t>Review allergen matrix whenever recipe, supplier, product or menu changes.</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Cross-contamination during preparation</w:t>
            </w:r>
          </w:p>
        </w:tc>
        <w:tc>
          <w:tcPr>
            <w:tcW w:type="dxa" w:w="2088"/>
            <w:vAlign w:val="top"/>
          </w:tcPr>
          <w:p>
            <w:pPr>
              <w:jc w:val="left"/>
            </w:pPr>
            <w:r/>
            <w:r>
              <w:rPr>
                <w:b w:val="0"/>
                <w:sz w:val="14"/>
              </w:rPr>
              <w:t>Customers could be exposed to allergens through shared boards, utensils, fryers, surfaces, hands or storage.</w:t>
            </w:r>
          </w:p>
        </w:tc>
        <w:tc>
          <w:tcPr>
            <w:tcW w:type="dxa" w:w="3096"/>
            <w:vAlign w:val="top"/>
          </w:tcPr>
          <w:p>
            <w:pPr>
              <w:jc w:val="left"/>
            </w:pPr>
            <w:r/>
            <w:r>
              <w:rPr>
                <w:b w:val="0"/>
                <w:sz w:val="14"/>
              </w:rPr>
              <w:t>Separate utensils/boards where practical; cleaning between tasks; handwashing; allergen ingredients sealed and labelled; high-risk requests handled by trained staff.</w:t>
            </w:r>
          </w:p>
        </w:tc>
        <w:tc>
          <w:tcPr>
            <w:tcW w:type="dxa" w:w="1296"/>
            <w:vAlign w:val="top"/>
          </w:tcPr>
          <w:p>
            <w:pPr>
              <w:jc w:val="left"/>
            </w:pPr>
            <w:r/>
            <w:r>
              <w:rPr>
                <w:b w:val="0"/>
                <w:sz w:val="14"/>
              </w:rPr>
              <w:t>Medium</w:t>
            </w:r>
          </w:p>
        </w:tc>
        <w:tc>
          <w:tcPr>
            <w:tcW w:type="dxa" w:w="2376"/>
            <w:vAlign w:val="top"/>
          </w:tcPr>
          <w:p>
            <w:pPr>
              <w:jc w:val="left"/>
            </w:pPr>
            <w:r/>
            <w:r>
              <w:rPr>
                <w:b w:val="0"/>
                <w:sz w:val="14"/>
              </w:rPr>
              <w:t>Map high-risk cross-contact points and decide what the business can/cannot safely offer.</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Supplier or ingredient change</w:t>
            </w:r>
          </w:p>
        </w:tc>
        <w:tc>
          <w:tcPr>
            <w:tcW w:type="dxa" w:w="2088"/>
            <w:vAlign w:val="top"/>
          </w:tcPr>
          <w:p>
            <w:pPr>
              <w:jc w:val="left"/>
            </w:pPr>
            <w:r/>
            <w:r>
              <w:rPr>
                <w:b w:val="0"/>
                <w:sz w:val="14"/>
              </w:rPr>
              <w:t>Allergen status could change if ingredients, labels or suppliers change.</w:t>
            </w:r>
          </w:p>
        </w:tc>
        <w:tc>
          <w:tcPr>
            <w:tcW w:type="dxa" w:w="3096"/>
            <w:vAlign w:val="top"/>
          </w:tcPr>
          <w:p>
            <w:pPr>
              <w:jc w:val="left"/>
            </w:pPr>
            <w:r/>
            <w:r>
              <w:rPr>
                <w:b w:val="0"/>
                <w:sz w:val="14"/>
              </w:rPr>
              <w:t>Labels checked on delivery; ingredient changes escalated to manager; old and new stock separated where necessary.</w:t>
            </w:r>
          </w:p>
        </w:tc>
        <w:tc>
          <w:tcPr>
            <w:tcW w:type="dxa" w:w="1296"/>
            <w:vAlign w:val="top"/>
          </w:tcPr>
          <w:p>
            <w:pPr>
              <w:jc w:val="left"/>
            </w:pPr>
            <w:r/>
            <w:r>
              <w:rPr>
                <w:b w:val="0"/>
                <w:sz w:val="14"/>
              </w:rPr>
              <w:t>Medium</w:t>
            </w:r>
          </w:p>
        </w:tc>
        <w:tc>
          <w:tcPr>
            <w:tcW w:type="dxa" w:w="2376"/>
            <w:vAlign w:val="top"/>
          </w:tcPr>
          <w:p>
            <w:pPr>
              <w:jc w:val="left"/>
            </w:pPr>
            <w:r/>
            <w:r>
              <w:rPr>
                <w:b w:val="0"/>
                <w:sz w:val="14"/>
              </w:rPr>
              <w:t>Add supplier/ingredient change checklist and record review date.</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Front-of-house communication error</w:t>
            </w:r>
          </w:p>
        </w:tc>
        <w:tc>
          <w:tcPr>
            <w:tcW w:type="dxa" w:w="2088"/>
            <w:vAlign w:val="top"/>
          </w:tcPr>
          <w:p>
            <w:pPr>
              <w:jc w:val="left"/>
            </w:pPr>
            <w:r/>
            <w:r>
              <w:rPr>
                <w:b w:val="0"/>
                <w:sz w:val="14"/>
              </w:rPr>
              <w:t>Server may give wrong advice or fail to pass allergy request clearly to kitchen.</w:t>
            </w:r>
          </w:p>
        </w:tc>
        <w:tc>
          <w:tcPr>
            <w:tcW w:type="dxa" w:w="3096"/>
            <w:vAlign w:val="top"/>
          </w:tcPr>
          <w:p>
            <w:pPr>
              <w:jc w:val="left"/>
            </w:pPr>
            <w:r/>
            <w:r>
              <w:rPr>
                <w:b w:val="0"/>
                <w:sz w:val="14"/>
              </w:rPr>
              <w:t>Staff instructed not to guess; allergy requests flagged to kitchen/manager; clear communication process used.</w:t>
            </w:r>
          </w:p>
        </w:tc>
        <w:tc>
          <w:tcPr>
            <w:tcW w:type="dxa" w:w="1296"/>
            <w:vAlign w:val="top"/>
          </w:tcPr>
          <w:p>
            <w:pPr>
              <w:jc w:val="left"/>
            </w:pPr>
            <w:r/>
            <w:r>
              <w:rPr>
                <w:b w:val="0"/>
                <w:sz w:val="14"/>
              </w:rPr>
              <w:t>Medium</w:t>
            </w:r>
          </w:p>
        </w:tc>
        <w:tc>
          <w:tcPr>
            <w:tcW w:type="dxa" w:w="2376"/>
            <w:vAlign w:val="top"/>
          </w:tcPr>
          <w:p>
            <w:pPr>
              <w:jc w:val="left"/>
            </w:pPr>
            <w:r/>
            <w:r>
              <w:rPr>
                <w:b w:val="0"/>
                <w:sz w:val="14"/>
              </w:rPr>
              <w:t>Add short allergy request script for staff and train all new starters.</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Loose/open foods and toppings</w:t>
            </w:r>
          </w:p>
        </w:tc>
        <w:tc>
          <w:tcPr>
            <w:tcW w:type="dxa" w:w="2088"/>
            <w:vAlign w:val="top"/>
          </w:tcPr>
          <w:p>
            <w:pPr>
              <w:jc w:val="left"/>
            </w:pPr>
            <w:r/>
            <w:r>
              <w:rPr>
                <w:b w:val="0"/>
                <w:sz w:val="14"/>
              </w:rPr>
              <w:t>Cross-contact could occur from shared scoops, open tubs, garnishes, sauces or display foods.</w:t>
            </w:r>
          </w:p>
        </w:tc>
        <w:tc>
          <w:tcPr>
            <w:tcW w:type="dxa" w:w="3096"/>
            <w:vAlign w:val="top"/>
          </w:tcPr>
          <w:p>
            <w:pPr>
              <w:jc w:val="left"/>
            </w:pPr>
            <w:r/>
            <w:r>
              <w:rPr>
                <w:b w:val="0"/>
                <w:sz w:val="14"/>
              </w:rPr>
              <w:t>Scoops stored separately; containers covered; spillages cleaned; toppings labelled; staff use clean utensils.</w:t>
            </w:r>
          </w:p>
        </w:tc>
        <w:tc>
          <w:tcPr>
            <w:tcW w:type="dxa" w:w="1296"/>
            <w:vAlign w:val="top"/>
          </w:tcPr>
          <w:p>
            <w:pPr>
              <w:jc w:val="left"/>
            </w:pPr>
            <w:r/>
            <w:r>
              <w:rPr>
                <w:b w:val="0"/>
                <w:sz w:val="14"/>
              </w:rPr>
              <w:t>Low / Medium</w:t>
            </w:r>
          </w:p>
        </w:tc>
        <w:tc>
          <w:tcPr>
            <w:tcW w:type="dxa" w:w="2376"/>
            <w:vAlign w:val="top"/>
          </w:tcPr>
          <w:p>
            <w:pPr>
              <w:jc w:val="left"/>
            </w:pPr>
            <w:r/>
            <w:r>
              <w:rPr>
                <w:b w:val="0"/>
                <w:sz w:val="14"/>
              </w:rPr>
              <w:t>Review display/topping layout and add labels where missing.</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Takeaway/delivery orders</w:t>
            </w:r>
          </w:p>
        </w:tc>
        <w:tc>
          <w:tcPr>
            <w:tcW w:type="dxa" w:w="2088"/>
            <w:vAlign w:val="top"/>
          </w:tcPr>
          <w:p>
            <w:pPr>
              <w:jc w:val="left"/>
            </w:pPr>
            <w:r/>
            <w:r>
              <w:rPr>
                <w:b w:val="0"/>
                <w:sz w:val="14"/>
              </w:rPr>
              <w:t>Allergy information or special request may be missed on online/phone orders.</w:t>
            </w:r>
          </w:p>
        </w:tc>
        <w:tc>
          <w:tcPr>
            <w:tcW w:type="dxa" w:w="3096"/>
            <w:vAlign w:val="top"/>
          </w:tcPr>
          <w:p>
            <w:pPr>
              <w:jc w:val="left"/>
            </w:pPr>
            <w:r/>
            <w:r>
              <w:rPr>
                <w:b w:val="0"/>
                <w:sz w:val="14"/>
              </w:rPr>
              <w:t>Allergy notes checked before preparation; staff confirm with customer where needed; order marked clearly.</w:t>
            </w:r>
          </w:p>
        </w:tc>
        <w:tc>
          <w:tcPr>
            <w:tcW w:type="dxa" w:w="1296"/>
            <w:vAlign w:val="top"/>
          </w:tcPr>
          <w:p>
            <w:pPr>
              <w:jc w:val="left"/>
            </w:pPr>
            <w:r/>
            <w:r>
              <w:rPr>
                <w:b w:val="0"/>
                <w:sz w:val="14"/>
              </w:rPr>
              <w:t>Medium</w:t>
            </w:r>
          </w:p>
        </w:tc>
        <w:tc>
          <w:tcPr>
            <w:tcW w:type="dxa" w:w="2376"/>
            <w:vAlign w:val="top"/>
          </w:tcPr>
          <w:p>
            <w:pPr>
              <w:jc w:val="left"/>
            </w:pPr>
            <w:r/>
            <w:r>
              <w:rPr>
                <w:b w:val="0"/>
                <w:sz w:val="14"/>
              </w:rPr>
              <w:t>Create clear process for app/phone allergy orders and decide if certain allergy orders cannot be accepted safely.</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Staff training gap</w:t>
            </w:r>
          </w:p>
        </w:tc>
        <w:tc>
          <w:tcPr>
            <w:tcW w:type="dxa" w:w="2088"/>
            <w:vAlign w:val="top"/>
          </w:tcPr>
          <w:p>
            <w:pPr>
              <w:jc w:val="left"/>
            </w:pPr>
            <w:r/>
            <w:r>
              <w:rPr>
                <w:b w:val="0"/>
                <w:sz w:val="14"/>
              </w:rPr>
              <w:t>New or casual staff may not understand allergen rules or the business process.</w:t>
            </w:r>
          </w:p>
        </w:tc>
        <w:tc>
          <w:tcPr>
            <w:tcW w:type="dxa" w:w="3096"/>
            <w:vAlign w:val="top"/>
          </w:tcPr>
          <w:p>
            <w:pPr>
              <w:jc w:val="left"/>
            </w:pPr>
            <w:r/>
            <w:r>
              <w:rPr>
                <w:b w:val="0"/>
                <w:sz w:val="14"/>
              </w:rPr>
              <w:t>Basic allergen training provided; staff told not to guess; manager available for queries.</w:t>
            </w:r>
          </w:p>
        </w:tc>
        <w:tc>
          <w:tcPr>
            <w:tcW w:type="dxa" w:w="1296"/>
            <w:vAlign w:val="top"/>
          </w:tcPr>
          <w:p>
            <w:pPr>
              <w:jc w:val="left"/>
            </w:pPr>
            <w:r/>
            <w:r>
              <w:rPr>
                <w:b w:val="0"/>
                <w:sz w:val="14"/>
              </w:rPr>
              <w:t>Medium</w:t>
            </w:r>
          </w:p>
        </w:tc>
        <w:tc>
          <w:tcPr>
            <w:tcW w:type="dxa" w:w="2376"/>
            <w:vAlign w:val="top"/>
          </w:tcPr>
          <w:p>
            <w:pPr>
              <w:jc w:val="left"/>
            </w:pPr>
            <w:r/>
            <w:r>
              <w:rPr>
                <w:b w:val="0"/>
                <w:sz w:val="14"/>
              </w:rPr>
              <w:t>Track allergen training dates and refresh regularly.</w:t>
            </w:r>
          </w:p>
        </w:tc>
        <w:tc>
          <w:tcPr>
            <w:tcW w:type="dxa" w:w="1512"/>
            <w:vAlign w:val="top"/>
          </w:tcPr>
          <w:p>
            <w:pPr>
              <w:jc w:val="left"/>
            </w:pPr>
            <w:r/>
            <w:r>
              <w:rPr>
                <w:b w:val="0"/>
                <w:sz w:val="14"/>
              </w:rPr>
            </w:r>
          </w:p>
        </w:tc>
        <w:tc>
          <w:tcPr>
            <w:tcW w:type="dxa" w:w="1440"/>
            <w:vAlign w:val="top"/>
          </w:tcPr>
          <w:p>
            <w:pPr>
              <w:jc w:val="left"/>
            </w:pPr>
            <w:r/>
            <w:r>
              <w:rPr>
                <w:b w:val="0"/>
                <w:sz w:val="14"/>
              </w:rPr>
            </w:r>
          </w:p>
        </w:tc>
      </w:tr>
    </w:tbl>
    <w:p>
      <w:pPr>
        <w:spacing w:before="160"/>
      </w:pPr>
      <w:r>
        <w:rPr>
          <w:b/>
          <w:sz w:val="20"/>
        </w:rPr>
        <w:t>Add your own site-specific hazards below</w:t>
      </w:r>
    </w:p>
    <w:tbl>
      <w:tblPr>
        <w:tblW w:type="auto" w:w="0"/>
        <w:tblLook w:firstColumn="1" w:firstRow="1" w:lastColumn="0" w:lastRow="0" w:noHBand="0" w:noVBand="1" w:val="04A0"/>
        <w:tblBorders>
          <w:top w:val="single" w:sz="4" w:space="0" w:color="cbd5e1"/>
          <w:left w:val="single" w:sz="4" w:space="0" w:color="cbd5e1"/>
          <w:bottom w:val="single" w:sz="4" w:space="0" w:color="cbd5e1"/>
          <w:right w:val="single" w:sz="4" w:space="0" w:color="cbd5e1"/>
          <w:insideH w:val="single" w:sz="4" w:space="0" w:color="cbd5e1"/>
          <w:insideV w:val="single" w:sz="4" w:space="0" w:color="cbd5e1"/>
        </w:tblBorders>
      </w:tblPr>
      <w:tblGrid>
        <w:gridCol w:w="1563"/>
        <w:gridCol w:w="1563"/>
        <w:gridCol w:w="1563"/>
        <w:gridCol w:w="1563"/>
        <w:gridCol w:w="1563"/>
        <w:gridCol w:w="1563"/>
        <w:gridCol w:w="1563"/>
      </w:tblGrid>
      <w:tr>
        <w:tc>
          <w:tcPr>
            <w:tcW w:type="dxa" w:w="1563"/>
            <w:shd w:fill="f1f5f9"/>
          </w:tcPr>
          <w:p>
            <w:pPr>
              <w:jc w:val="left"/>
            </w:pPr>
            <w:r/>
            <w:r>
              <w:rPr>
                <w:b/>
                <w:color w:val="020617"/>
                <w:sz w:val="14"/>
              </w:rPr>
              <w:t>Hazard</w:t>
            </w:r>
          </w:p>
        </w:tc>
        <w:tc>
          <w:tcPr>
            <w:tcW w:type="dxa" w:w="1563"/>
            <w:shd w:fill="f1f5f9"/>
          </w:tcPr>
          <w:p>
            <w:pPr>
              <w:jc w:val="left"/>
            </w:pPr>
            <w:r/>
            <w:r>
              <w:rPr>
                <w:b/>
                <w:color w:val="020617"/>
                <w:sz w:val="14"/>
              </w:rPr>
              <w:t>Who may be harmed / how</w:t>
            </w:r>
          </w:p>
        </w:tc>
        <w:tc>
          <w:tcPr>
            <w:tcW w:type="dxa" w:w="1563"/>
            <w:shd w:fill="f1f5f9"/>
          </w:tcPr>
          <w:p>
            <w:pPr>
              <w:jc w:val="left"/>
            </w:pPr>
            <w:r/>
            <w:r>
              <w:rPr>
                <w:b/>
                <w:color w:val="020617"/>
                <w:sz w:val="14"/>
              </w:rPr>
              <w:t>Existing controls</w:t>
            </w:r>
          </w:p>
        </w:tc>
        <w:tc>
          <w:tcPr>
            <w:tcW w:type="dxa" w:w="1563"/>
            <w:shd w:fill="f1f5f9"/>
          </w:tcPr>
          <w:p>
            <w:pPr>
              <w:jc w:val="left"/>
            </w:pPr>
            <w:r/>
            <w:r>
              <w:rPr>
                <w:b/>
                <w:color w:val="020617"/>
                <w:sz w:val="14"/>
              </w:rPr>
              <w:t>Risk after controls</w:t>
            </w:r>
          </w:p>
        </w:tc>
        <w:tc>
          <w:tcPr>
            <w:tcW w:type="dxa" w:w="1563"/>
            <w:shd w:fill="f1f5f9"/>
          </w:tcPr>
          <w:p>
            <w:pPr>
              <w:jc w:val="left"/>
            </w:pPr>
            <w:r/>
            <w:r>
              <w:rPr>
                <w:b/>
                <w:color w:val="020617"/>
                <w:sz w:val="14"/>
              </w:rPr>
              <w:t>Further action needed</w:t>
            </w:r>
          </w:p>
        </w:tc>
        <w:tc>
          <w:tcPr>
            <w:tcW w:type="dxa" w:w="1563"/>
            <w:shd w:fill="f1f5f9"/>
          </w:tcPr>
          <w:p>
            <w:pPr>
              <w:jc w:val="left"/>
            </w:pPr>
            <w:r/>
            <w:r>
              <w:rPr>
                <w:b/>
                <w:color w:val="020617"/>
                <w:sz w:val="14"/>
              </w:rPr>
              <w:t>Person responsible</w:t>
            </w:r>
          </w:p>
        </w:tc>
        <w:tc>
          <w:tcPr>
            <w:tcW w:type="dxa" w:w="1563"/>
            <w:shd w:fill="f1f5f9"/>
          </w:tcPr>
          <w:p>
            <w:pPr>
              <w:jc w:val="left"/>
            </w:pPr>
            <w:r/>
            <w:r>
              <w:rPr>
                <w:b/>
                <w:color w:val="020617"/>
                <w:sz w:val="14"/>
              </w:rPr>
              <w:t>Review / done date</w:t>
            </w:r>
          </w:p>
        </w:tc>
      </w:tr>
      <w:tr>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r>
      <w:tr>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r>
      <w:tr>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r>
    </w:tbl>
    <w:p/>
    <w:p>
      <w:r>
        <w:rPr>
          <w:b/>
          <w:sz w:val="22"/>
        </w:rPr>
        <w:t>Sign-off</w:t>
      </w:r>
    </w:p>
    <w:tbl>
      <w:tblPr>
        <w:tblW w:type="auto" w:w="0"/>
        <w:tblLook w:firstColumn="1" w:firstRow="1" w:lastColumn="0" w:lastRow="0" w:noHBand="0" w:noVBand="1" w:val="04A0"/>
        <w:tblBorders>
          <w:top w:val="single" w:sz="4" w:space="0" w:color="cbd5e1"/>
          <w:left w:val="single" w:sz="4" w:space="0" w:color="cbd5e1"/>
          <w:bottom w:val="single" w:sz="4" w:space="0" w:color="cbd5e1"/>
          <w:right w:val="single" w:sz="4" w:space="0" w:color="cbd5e1"/>
          <w:insideH w:val="single" w:sz="4" w:space="0" w:color="cbd5e1"/>
          <w:insideV w:val="single" w:sz="4" w:space="0" w:color="cbd5e1"/>
        </w:tblBorders>
      </w:tblPr>
      <w:tblGrid>
        <w:gridCol w:w="2736"/>
        <w:gridCol w:w="2736"/>
        <w:gridCol w:w="2736"/>
        <w:gridCol w:w="2736"/>
      </w:tblGrid>
      <w:tr>
        <w:tc>
          <w:tcPr>
            <w:tcW w:type="dxa" w:w="2736"/>
            <w:shd w:fill="020617"/>
          </w:tcPr>
          <w:p>
            <w:pPr>
              <w:jc w:val="left"/>
            </w:pPr>
            <w:r/>
            <w:r>
              <w:rPr>
                <w:b/>
                <w:color w:val="FFFFFF"/>
                <w:sz w:val="16"/>
              </w:rPr>
              <w:t>Name</w:t>
            </w:r>
          </w:p>
        </w:tc>
        <w:tc>
          <w:tcPr>
            <w:tcW w:type="dxa" w:w="2736"/>
            <w:shd w:fill="020617"/>
          </w:tcPr>
          <w:p>
            <w:pPr>
              <w:jc w:val="left"/>
            </w:pPr>
            <w:r/>
            <w:r>
              <w:rPr>
                <w:b/>
                <w:color w:val="FFFFFF"/>
                <w:sz w:val="16"/>
              </w:rPr>
              <w:t>Role</w:t>
            </w:r>
          </w:p>
        </w:tc>
        <w:tc>
          <w:tcPr>
            <w:tcW w:type="dxa" w:w="2736"/>
            <w:shd w:fill="020617"/>
          </w:tcPr>
          <w:p>
            <w:pPr>
              <w:jc w:val="left"/>
            </w:pPr>
            <w:r/>
            <w:r>
              <w:rPr>
                <w:b/>
                <w:color w:val="FFFFFF"/>
                <w:sz w:val="16"/>
              </w:rPr>
              <w:t>Signature</w:t>
            </w:r>
          </w:p>
        </w:tc>
        <w:tc>
          <w:tcPr>
            <w:tcW w:type="dxa" w:w="2736"/>
            <w:shd w:fill="020617"/>
          </w:tcPr>
          <w:p>
            <w:pPr>
              <w:jc w:val="left"/>
            </w:pPr>
            <w:r/>
            <w:r>
              <w:rPr>
                <w:b/>
                <w:color w:val="FFFFFF"/>
                <w:sz w:val="16"/>
              </w:rPr>
              <w:t>Date</w:t>
            </w:r>
          </w:p>
        </w:tc>
      </w:tr>
      <w:tr>
        <w:tc>
          <w:tcPr>
            <w:tcW w:type="dxa" w:w="2736"/>
          </w:tcPr>
          <w:p>
            <w:pPr>
              <w:jc w:val="left"/>
            </w:pPr>
            <w:r/>
            <w:r>
              <w:rPr>
                <w:b w:val="0"/>
                <w:sz w:val="16"/>
              </w:rPr>
              <w:br/>
            </w:r>
          </w:p>
        </w:tc>
        <w:tc>
          <w:tcPr>
            <w:tcW w:type="dxa" w:w="2736"/>
          </w:tcPr>
          <w:p>
            <w:pPr>
              <w:jc w:val="left"/>
            </w:pPr>
            <w:r/>
            <w:r>
              <w:rPr>
                <w:b w:val="0"/>
                <w:sz w:val="16"/>
              </w:rPr>
              <w:br/>
            </w:r>
          </w:p>
        </w:tc>
        <w:tc>
          <w:tcPr>
            <w:tcW w:type="dxa" w:w="2736"/>
          </w:tcPr>
          <w:p>
            <w:pPr>
              <w:jc w:val="left"/>
            </w:pPr>
            <w:r/>
            <w:r>
              <w:rPr>
                <w:b w:val="0"/>
                <w:sz w:val="16"/>
              </w:rPr>
              <w:br/>
            </w:r>
          </w:p>
        </w:tc>
        <w:tc>
          <w:tcPr>
            <w:tcW w:type="dxa" w:w="2736"/>
          </w:tcPr>
          <w:p>
            <w:pPr>
              <w:jc w:val="left"/>
            </w:pPr>
            <w:r/>
            <w:r>
              <w:rPr>
                <w:b w:val="0"/>
                <w:sz w:val="16"/>
              </w:rPr>
              <w:br/>
            </w:r>
          </w:p>
        </w:tc>
      </w:tr>
    </w:tbl>
    <w:p>
      <w:pPr>
        <w:spacing w:before="160"/>
      </w:pPr>
      <w:r>
        <w:rPr>
          <w:b/>
          <w:sz w:val="15"/>
        </w:rPr>
        <w:t xml:space="preserve">Disclaimer: </w:t>
      </w:r>
      <w:r>
        <w:rPr>
          <w:color w:val="475569"/>
          <w:sz w:val="15"/>
        </w:rPr>
        <w:t>This template is general guidance only. It is not legal advice and should be adapted to your own premises, equipment, processes, staff, risk level and local authority requirements. Review regularly and after any significant change, incident, near miss or inspection feedback.</w:t>
      </w:r>
    </w:p>
    <w:sectPr w:rsidR="00FC693F" w:rsidRPr="0006063C" w:rsidSect="00034616">
      <w:headerReference w:type="default" r:id="rId9"/>
      <w:footerReference w:type="default" r:id="rId10"/>
      <w:pgSz w:w="12240" w:h="15840"/>
      <w:pgMar w:top="648"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748B"/>
        <w:sz w:val="16"/>
      </w:rPr>
      <w:t>TempTake | Food safety records made simple | temptake.com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
      <w:rPr>
        <w:b/>
        <w:color w:val="F97316"/>
        <w:sz w:val="22"/>
      </w:rPr>
      <w:t>TempTake</w:t>
    </w:r>
    <w:r>
      <w:rPr>
        <w:sz w:val="18"/>
      </w:rPr>
      <w:t xml:space="preserve">  |  Free Food Business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