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20617"/>
          <w:sz w:val="42"/>
        </w:rPr>
        <w:t>Kitchen Safety Risk Assessment Template</w:t>
      </w:r>
    </w:p>
    <w:p>
      <w:pPr>
        <w:spacing w:after="160"/>
      </w:pPr>
      <w:r>
        <w:rPr>
          <w:color w:val="475569"/>
          <w:sz w:val="18"/>
        </w:rPr>
        <w:t>For small UK food businesses. Adapt this template to your own premises, equipment, staff, processes and local authority requirements.</w:t>
      </w:r>
    </w:p>
    <w:tbl>
      <w:tblPr>
        <w:tblW w:type="auto" w:w="0"/>
        <w:jc w:val="center"/>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2736"/>
        <w:gridCol w:w="2736"/>
        <w:gridCol w:w="2736"/>
        <w:gridCol w:w="2736"/>
      </w:tblGrid>
      <w:tr>
        <w:tc>
          <w:tcPr>
            <w:tcW w:type="dxa" w:w="2736"/>
            <w:shd w:fill="020617"/>
          </w:tcPr>
          <w:p>
            <w:pPr>
              <w:jc w:val="left"/>
            </w:pPr>
            <w:r/>
            <w:r>
              <w:rPr>
                <w:b/>
                <w:color w:val="FFFFFF"/>
                <w:sz w:val="17"/>
              </w:rPr>
              <w:t>Business name</w:t>
            </w:r>
          </w:p>
        </w:tc>
        <w:tc>
          <w:tcPr>
            <w:tcW w:type="dxa" w:w="2736"/>
            <w:shd w:fill="020617"/>
          </w:tcPr>
          <w:p>
            <w:pPr>
              <w:jc w:val="left"/>
            </w:pPr>
            <w:r/>
            <w:r>
              <w:rPr>
                <w:b/>
                <w:color w:val="FFFFFF"/>
                <w:sz w:val="17"/>
              </w:rPr>
              <w:t>Site / area</w:t>
            </w:r>
          </w:p>
        </w:tc>
        <w:tc>
          <w:tcPr>
            <w:tcW w:type="dxa" w:w="2736"/>
            <w:shd w:fill="020617"/>
          </w:tcPr>
          <w:p>
            <w:pPr>
              <w:jc w:val="left"/>
            </w:pPr>
            <w:r/>
            <w:r>
              <w:rPr>
                <w:b/>
                <w:color w:val="FFFFFF"/>
                <w:sz w:val="17"/>
              </w:rPr>
              <w:t>Completed by</w:t>
            </w:r>
          </w:p>
        </w:tc>
        <w:tc>
          <w:tcPr>
            <w:tcW w:type="dxa" w:w="2736"/>
            <w:shd w:fill="020617"/>
          </w:tcPr>
          <w:p>
            <w:pPr>
              <w:jc w:val="left"/>
            </w:pPr>
            <w:r/>
            <w:r>
              <w:rPr>
                <w:b/>
                <w:color w:val="FFFFFF"/>
                <w:sz w:val="17"/>
              </w:rPr>
              <w:t>Review date</w:t>
            </w:r>
          </w:p>
        </w:tc>
      </w:tr>
      <w:tr>
        <w:tc>
          <w:tcPr>
            <w:tcW w:type="dxa" w:w="2736"/>
          </w:tcPr>
          <w:p>
            <w:pPr>
              <w:jc w:val="left"/>
            </w:pPr>
            <w:r/>
            <w:r>
              <w:rPr>
                <w:b w:val="0"/>
                <w:sz w:val="17"/>
              </w:rPr>
            </w:r>
          </w:p>
        </w:tc>
        <w:tc>
          <w:tcPr>
            <w:tcW w:type="dxa" w:w="2736"/>
          </w:tcPr>
          <w:p>
            <w:pPr>
              <w:jc w:val="left"/>
            </w:pPr>
            <w:r/>
            <w:r>
              <w:rPr>
                <w:b w:val="0"/>
                <w:sz w:val="17"/>
              </w:rPr>
            </w:r>
          </w:p>
        </w:tc>
        <w:tc>
          <w:tcPr>
            <w:tcW w:type="dxa" w:w="2736"/>
          </w:tcPr>
          <w:p>
            <w:pPr>
              <w:jc w:val="left"/>
            </w:pPr>
            <w:r/>
            <w:r>
              <w:rPr>
                <w:b w:val="0"/>
                <w:sz w:val="17"/>
              </w:rPr>
            </w:r>
          </w:p>
        </w:tc>
        <w:tc>
          <w:tcPr>
            <w:tcW w:type="dxa" w:w="2736"/>
          </w:tcPr>
          <w:p>
            <w:pPr>
              <w:jc w:val="left"/>
            </w:pPr>
            <w:r/>
            <w:r>
              <w:rPr>
                <w:b w:val="0"/>
                <w:sz w:val="17"/>
              </w:rPr>
            </w:r>
          </w:p>
        </w:tc>
      </w:tr>
    </w:tbl>
    <w:p/>
    <w:p>
      <w:r>
        <w:rPr>
          <w:b/>
          <w:color w:val="020617"/>
          <w:sz w:val="24"/>
        </w:rPr>
        <w:t>How to use this template</w:t>
      </w:r>
    </w:p>
    <w:p>
      <w:pPr>
        <w:pStyle w:val="ListBullet"/>
        <w:spacing w:after="0"/>
      </w:pPr>
      <w:r>
        <w:rPr>
          <w:sz w:val="17"/>
        </w:rPr>
        <w:t>Walk around the premises and identify hazards that could cause injury, illness or a serious food safety issue.</w:t>
      </w:r>
    </w:p>
    <w:p>
      <w:pPr>
        <w:pStyle w:val="ListBullet"/>
        <w:spacing w:after="0"/>
      </w:pPr>
      <w:r>
        <w:rPr>
          <w:sz w:val="17"/>
        </w:rPr>
        <w:t>Record who could be harmed, what controls are already in place and what further action is needed.</w:t>
      </w:r>
    </w:p>
    <w:p>
      <w:pPr>
        <w:pStyle w:val="ListBullet"/>
        <w:spacing w:after="0"/>
      </w:pPr>
      <w:r>
        <w:rPr>
          <w:sz w:val="17"/>
        </w:rPr>
        <w:t>Keep the completed version with your health and safety / food safety records and review it regularly.</w:t>
      </w:r>
    </w:p>
    <w:p>
      <w:pPr>
        <w:pStyle w:val="ListBullet"/>
        <w:spacing w:after="0"/>
      </w:pPr>
      <w:r>
        <w:rPr>
          <w:sz w:val="17"/>
        </w:rPr>
        <w:t>This is a starting point only. Delete anything irrelevant and add hazards specific to your business.</w:t>
      </w:r>
    </w:p>
    <w:p/>
    <w:tbl>
      <w:tblPr>
        <w:tblStyle w:val="TableGrid"/>
        <w:tblW w:type="auto" w:w="0"/>
        <w:jc w:val="center"/>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1563"/>
        <w:gridCol w:w="1563"/>
        <w:gridCol w:w="1563"/>
        <w:gridCol w:w="1563"/>
        <w:gridCol w:w="1563"/>
        <w:gridCol w:w="1563"/>
        <w:gridCol w:w="1563"/>
      </w:tblGrid>
      <w:tr>
        <w:tc>
          <w:tcPr>
            <w:tcW w:type="dxa" w:w="1944"/>
            <w:shd w:fill="020617"/>
            <w:vAlign w:val="center"/>
          </w:tcPr>
          <w:p>
            <w:pPr>
              <w:jc w:val="left"/>
            </w:pPr>
            <w:r/>
            <w:r>
              <w:rPr>
                <w:b/>
                <w:color w:val="FFFFFF"/>
                <w:sz w:val="14"/>
              </w:rPr>
              <w:t>Hazard</w:t>
            </w:r>
          </w:p>
        </w:tc>
        <w:tc>
          <w:tcPr>
            <w:tcW w:type="dxa" w:w="2088"/>
            <w:shd w:fill="020617"/>
            <w:vAlign w:val="center"/>
          </w:tcPr>
          <w:p>
            <w:pPr>
              <w:jc w:val="left"/>
            </w:pPr>
            <w:r/>
            <w:r>
              <w:rPr>
                <w:b/>
                <w:color w:val="FFFFFF"/>
                <w:sz w:val="14"/>
              </w:rPr>
              <w:t>Who may be harmed / how</w:t>
            </w:r>
          </w:p>
        </w:tc>
        <w:tc>
          <w:tcPr>
            <w:tcW w:type="dxa" w:w="3096"/>
            <w:shd w:fill="020617"/>
            <w:vAlign w:val="center"/>
          </w:tcPr>
          <w:p>
            <w:pPr>
              <w:jc w:val="left"/>
            </w:pPr>
            <w:r/>
            <w:r>
              <w:rPr>
                <w:b/>
                <w:color w:val="FFFFFF"/>
                <w:sz w:val="14"/>
              </w:rPr>
              <w:t>Existing controls</w:t>
            </w:r>
          </w:p>
        </w:tc>
        <w:tc>
          <w:tcPr>
            <w:tcW w:type="dxa" w:w="1296"/>
            <w:shd w:fill="020617"/>
            <w:vAlign w:val="center"/>
          </w:tcPr>
          <w:p>
            <w:pPr>
              <w:jc w:val="left"/>
            </w:pPr>
            <w:r/>
            <w:r>
              <w:rPr>
                <w:b/>
                <w:color w:val="FFFFFF"/>
                <w:sz w:val="14"/>
              </w:rPr>
              <w:t>Risk after controls</w:t>
            </w:r>
          </w:p>
        </w:tc>
        <w:tc>
          <w:tcPr>
            <w:tcW w:type="dxa" w:w="2376"/>
            <w:shd w:fill="020617"/>
            <w:vAlign w:val="center"/>
          </w:tcPr>
          <w:p>
            <w:pPr>
              <w:jc w:val="left"/>
            </w:pPr>
            <w:r/>
            <w:r>
              <w:rPr>
                <w:b/>
                <w:color w:val="FFFFFF"/>
                <w:sz w:val="14"/>
              </w:rPr>
              <w:t>Further action needed</w:t>
            </w:r>
          </w:p>
        </w:tc>
        <w:tc>
          <w:tcPr>
            <w:tcW w:type="dxa" w:w="1512"/>
            <w:shd w:fill="020617"/>
            <w:vAlign w:val="center"/>
          </w:tcPr>
          <w:p>
            <w:pPr>
              <w:jc w:val="left"/>
            </w:pPr>
            <w:r/>
            <w:r>
              <w:rPr>
                <w:b/>
                <w:color w:val="FFFFFF"/>
                <w:sz w:val="14"/>
              </w:rPr>
              <w:t>Person responsible</w:t>
            </w:r>
          </w:p>
        </w:tc>
        <w:tc>
          <w:tcPr>
            <w:tcW w:type="dxa" w:w="1440"/>
            <w:shd w:fill="020617"/>
            <w:vAlign w:val="center"/>
          </w:tcPr>
          <w:p>
            <w:pPr>
              <w:jc w:val="left"/>
            </w:pPr>
            <w:r/>
            <w:r>
              <w:rPr>
                <w:b/>
                <w:color w:val="FFFFFF"/>
                <w:sz w:val="14"/>
              </w:rPr>
              <w:t>Review / done date</w:t>
            </w:r>
          </w:p>
        </w:tc>
      </w:tr>
      <w:tr>
        <w:tc>
          <w:tcPr>
            <w:tcW w:type="dxa" w:w="1944"/>
            <w:vAlign w:val="top"/>
          </w:tcPr>
          <w:p>
            <w:pPr>
              <w:jc w:val="left"/>
            </w:pPr>
            <w:r/>
            <w:r>
              <w:rPr>
                <w:b w:val="0"/>
                <w:sz w:val="14"/>
              </w:rPr>
              <w:t>Slips, trips and falls</w:t>
            </w:r>
          </w:p>
        </w:tc>
        <w:tc>
          <w:tcPr>
            <w:tcW w:type="dxa" w:w="2088"/>
            <w:vAlign w:val="top"/>
          </w:tcPr>
          <w:p>
            <w:pPr>
              <w:jc w:val="left"/>
            </w:pPr>
            <w:r/>
            <w:r>
              <w:rPr>
                <w:b w:val="0"/>
                <w:sz w:val="14"/>
              </w:rPr>
              <w:t>Staff, visitors and contractors could slip on wet floors, food debris, loose mats or cluttered walkways.</w:t>
            </w:r>
          </w:p>
        </w:tc>
        <w:tc>
          <w:tcPr>
            <w:tcW w:type="dxa" w:w="3096"/>
            <w:vAlign w:val="top"/>
          </w:tcPr>
          <w:p>
            <w:pPr>
              <w:jc w:val="left"/>
            </w:pPr>
            <w:r/>
            <w:r>
              <w:rPr>
                <w:b w:val="0"/>
                <w:sz w:val="14"/>
              </w:rPr>
              <w:t>Spills cleaned promptly; wet floor signs used; walkways kept clear; suitable footwear required; floor mats kept flat and clean; deliveries put away promptly.</w:t>
            </w:r>
          </w:p>
        </w:tc>
        <w:tc>
          <w:tcPr>
            <w:tcW w:type="dxa" w:w="1296"/>
            <w:vAlign w:val="top"/>
          </w:tcPr>
          <w:p>
            <w:pPr>
              <w:jc w:val="left"/>
            </w:pPr>
            <w:r/>
            <w:r>
              <w:rPr>
                <w:b w:val="0"/>
                <w:sz w:val="14"/>
              </w:rPr>
              <w:t>Low / Medium</w:t>
            </w:r>
          </w:p>
        </w:tc>
        <w:tc>
          <w:tcPr>
            <w:tcW w:type="dxa" w:w="2376"/>
            <w:vAlign w:val="top"/>
          </w:tcPr>
          <w:p>
            <w:pPr>
              <w:jc w:val="left"/>
            </w:pPr>
            <w:r/>
            <w:r>
              <w:rPr>
                <w:b w:val="0"/>
                <w:sz w:val="14"/>
              </w:rPr>
              <w:t>Check high-risk areas during service and after cleaning. Replace damaged mats or flooring.</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Burns and scalds</w:t>
            </w:r>
          </w:p>
        </w:tc>
        <w:tc>
          <w:tcPr>
            <w:tcW w:type="dxa" w:w="2088"/>
            <w:vAlign w:val="top"/>
          </w:tcPr>
          <w:p>
            <w:pPr>
              <w:jc w:val="left"/>
            </w:pPr>
            <w:r/>
            <w:r>
              <w:rPr>
                <w:b w:val="0"/>
                <w:sz w:val="14"/>
              </w:rPr>
              <w:t>Kitchen staff could be burned by hot oil, ovens, grills, hot water, steam, pans, trays or hot food.</w:t>
            </w:r>
          </w:p>
        </w:tc>
        <w:tc>
          <w:tcPr>
            <w:tcW w:type="dxa" w:w="3096"/>
            <w:vAlign w:val="top"/>
          </w:tcPr>
          <w:p>
            <w:pPr>
              <w:jc w:val="left"/>
            </w:pPr>
            <w:r/>
            <w:r>
              <w:rPr>
                <w:b w:val="0"/>
                <w:sz w:val="14"/>
              </w:rPr>
              <w:t>Staff trained in safe use of hot equipment; dry cloths/oven gloves available; pan handles positioned safely; hot liquids carried carefully; children/customers kept out of kitchen.</w:t>
            </w:r>
          </w:p>
        </w:tc>
        <w:tc>
          <w:tcPr>
            <w:tcW w:type="dxa" w:w="1296"/>
            <w:vAlign w:val="top"/>
          </w:tcPr>
          <w:p>
            <w:pPr>
              <w:jc w:val="left"/>
            </w:pPr>
            <w:r/>
            <w:r>
              <w:rPr>
                <w:b w:val="0"/>
                <w:sz w:val="14"/>
              </w:rPr>
              <w:t>Medium</w:t>
            </w:r>
          </w:p>
        </w:tc>
        <w:tc>
          <w:tcPr>
            <w:tcW w:type="dxa" w:w="2376"/>
            <w:vAlign w:val="top"/>
          </w:tcPr>
          <w:p>
            <w:pPr>
              <w:jc w:val="left"/>
            </w:pPr>
            <w:r/>
            <w:r>
              <w:rPr>
                <w:b w:val="0"/>
                <w:sz w:val="14"/>
              </w:rPr>
              <w:t>Refresh staff training and check PPE condition monthly.</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Knives and sharp equipment</w:t>
            </w:r>
          </w:p>
        </w:tc>
        <w:tc>
          <w:tcPr>
            <w:tcW w:type="dxa" w:w="2088"/>
            <w:vAlign w:val="top"/>
          </w:tcPr>
          <w:p>
            <w:pPr>
              <w:jc w:val="left"/>
            </w:pPr>
            <w:r/>
            <w:r>
              <w:rPr>
                <w:b w:val="0"/>
                <w:sz w:val="14"/>
              </w:rPr>
              <w:t>Staff could suffer cuts from knives, slicers, graters, can openers or broken glass.</w:t>
            </w:r>
          </w:p>
        </w:tc>
        <w:tc>
          <w:tcPr>
            <w:tcW w:type="dxa" w:w="3096"/>
            <w:vAlign w:val="top"/>
          </w:tcPr>
          <w:p>
            <w:pPr>
              <w:jc w:val="left"/>
            </w:pPr>
            <w:r/>
            <w:r>
              <w:rPr>
                <w:b w:val="0"/>
                <w:sz w:val="14"/>
              </w:rPr>
              <w:t>Sharp knives stored safely; correct chopping boards used; staff trained; damaged blades removed; knives not left in sinks; broken glass procedure followed.</w:t>
            </w:r>
          </w:p>
        </w:tc>
        <w:tc>
          <w:tcPr>
            <w:tcW w:type="dxa" w:w="1296"/>
            <w:vAlign w:val="top"/>
          </w:tcPr>
          <w:p>
            <w:pPr>
              <w:jc w:val="left"/>
            </w:pPr>
            <w:r/>
            <w:r>
              <w:rPr>
                <w:b w:val="0"/>
                <w:sz w:val="14"/>
              </w:rPr>
              <w:t>Low / Medium</w:t>
            </w:r>
          </w:p>
        </w:tc>
        <w:tc>
          <w:tcPr>
            <w:tcW w:type="dxa" w:w="2376"/>
            <w:vAlign w:val="top"/>
          </w:tcPr>
          <w:p>
            <w:pPr>
              <w:jc w:val="left"/>
            </w:pPr>
            <w:r/>
            <w:r>
              <w:rPr>
                <w:b w:val="0"/>
                <w:sz w:val="14"/>
              </w:rPr>
              <w:t>Record knife/slicer training for new starters.</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Hot oil / fryer work</w:t>
            </w:r>
          </w:p>
        </w:tc>
        <w:tc>
          <w:tcPr>
            <w:tcW w:type="dxa" w:w="2088"/>
            <w:vAlign w:val="top"/>
          </w:tcPr>
          <w:p>
            <w:pPr>
              <w:jc w:val="left"/>
            </w:pPr>
            <w:r/>
            <w:r>
              <w:rPr>
                <w:b w:val="0"/>
                <w:sz w:val="14"/>
              </w:rPr>
              <w:t>Staff could be seriously burned by splashes, overfilled fryers, wet food, poor filtering or moving hot oil.</w:t>
            </w:r>
          </w:p>
        </w:tc>
        <w:tc>
          <w:tcPr>
            <w:tcW w:type="dxa" w:w="3096"/>
            <w:vAlign w:val="top"/>
          </w:tcPr>
          <w:p>
            <w:pPr>
              <w:jc w:val="left"/>
            </w:pPr>
            <w:r/>
            <w:r>
              <w:rPr>
                <w:b w:val="0"/>
                <w:sz w:val="14"/>
              </w:rPr>
              <w:t>Fryers not overfilled; food drained before frying; baskets lowered carefully; oil filtered only by trained staff; suitable PPE used; no water near fryer; fire blanket/extinguisher available.</w:t>
            </w:r>
          </w:p>
        </w:tc>
        <w:tc>
          <w:tcPr>
            <w:tcW w:type="dxa" w:w="1296"/>
            <w:vAlign w:val="top"/>
          </w:tcPr>
          <w:p>
            <w:pPr>
              <w:jc w:val="left"/>
            </w:pPr>
            <w:r/>
            <w:r>
              <w:rPr>
                <w:b w:val="0"/>
                <w:sz w:val="14"/>
              </w:rPr>
              <w:t>Medium</w:t>
            </w:r>
          </w:p>
        </w:tc>
        <w:tc>
          <w:tcPr>
            <w:tcW w:type="dxa" w:w="2376"/>
            <w:vAlign w:val="top"/>
          </w:tcPr>
          <w:p>
            <w:pPr>
              <w:jc w:val="left"/>
            </w:pPr>
            <w:r/>
            <w:r>
              <w:rPr>
                <w:b w:val="0"/>
                <w:sz w:val="14"/>
              </w:rPr>
              <w:t>Add written fryer cleaning and filtering procedure. Review fire controls.</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Cleaning chemicals</w:t>
            </w:r>
          </w:p>
        </w:tc>
        <w:tc>
          <w:tcPr>
            <w:tcW w:type="dxa" w:w="2088"/>
            <w:vAlign w:val="top"/>
          </w:tcPr>
          <w:p>
            <w:pPr>
              <w:jc w:val="left"/>
            </w:pPr>
            <w:r/>
            <w:r>
              <w:rPr>
                <w:b w:val="0"/>
                <w:sz w:val="14"/>
              </w:rPr>
              <w:t>Staff could suffer skin/eye irritation, breathing issues or accidental contamination of food.</w:t>
            </w:r>
          </w:p>
        </w:tc>
        <w:tc>
          <w:tcPr>
            <w:tcW w:type="dxa" w:w="3096"/>
            <w:vAlign w:val="top"/>
          </w:tcPr>
          <w:p>
            <w:pPr>
              <w:jc w:val="left"/>
            </w:pPr>
            <w:r/>
            <w:r>
              <w:rPr>
                <w:b w:val="0"/>
                <w:sz w:val="14"/>
              </w:rPr>
              <w:t>Chemicals labelled and stored away from food; COSHH sheets available; staff trained; correct dilution used; PPE available; never mix chemicals.</w:t>
            </w:r>
          </w:p>
        </w:tc>
        <w:tc>
          <w:tcPr>
            <w:tcW w:type="dxa" w:w="1296"/>
            <w:vAlign w:val="top"/>
          </w:tcPr>
          <w:p>
            <w:pPr>
              <w:jc w:val="left"/>
            </w:pPr>
            <w:r/>
            <w:r>
              <w:rPr>
                <w:b w:val="0"/>
                <w:sz w:val="14"/>
              </w:rPr>
              <w:t>Low / Medium</w:t>
            </w:r>
          </w:p>
        </w:tc>
        <w:tc>
          <w:tcPr>
            <w:tcW w:type="dxa" w:w="2376"/>
            <w:vAlign w:val="top"/>
          </w:tcPr>
          <w:p>
            <w:pPr>
              <w:jc w:val="left"/>
            </w:pPr>
            <w:r/>
            <w:r>
              <w:rPr>
                <w:b w:val="0"/>
                <w:sz w:val="14"/>
              </w:rPr>
              <w:t>Check chemical storage weekly and update COSHH folder when products change.</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Electrical equipment</w:t>
            </w:r>
          </w:p>
        </w:tc>
        <w:tc>
          <w:tcPr>
            <w:tcW w:type="dxa" w:w="2088"/>
            <w:vAlign w:val="top"/>
          </w:tcPr>
          <w:p>
            <w:pPr>
              <w:jc w:val="left"/>
            </w:pPr>
            <w:r/>
            <w:r>
              <w:rPr>
                <w:b w:val="0"/>
                <w:sz w:val="14"/>
              </w:rPr>
              <w:t>Staff could receive electric shock or burns from damaged plugs, wet sockets or faulty appliances.</w:t>
            </w:r>
          </w:p>
        </w:tc>
        <w:tc>
          <w:tcPr>
            <w:tcW w:type="dxa" w:w="3096"/>
            <w:vAlign w:val="top"/>
          </w:tcPr>
          <w:p>
            <w:pPr>
              <w:jc w:val="left"/>
            </w:pPr>
            <w:r/>
            <w:r>
              <w:rPr>
                <w:b w:val="0"/>
                <w:sz w:val="14"/>
              </w:rPr>
              <w:t>Visual checks carried out; damaged equipment removed from use; sockets kept dry; no overloading; repairs by competent person only.</w:t>
            </w:r>
          </w:p>
        </w:tc>
        <w:tc>
          <w:tcPr>
            <w:tcW w:type="dxa" w:w="1296"/>
            <w:vAlign w:val="top"/>
          </w:tcPr>
          <w:p>
            <w:pPr>
              <w:jc w:val="left"/>
            </w:pPr>
            <w:r/>
            <w:r>
              <w:rPr>
                <w:b w:val="0"/>
                <w:sz w:val="14"/>
              </w:rPr>
              <w:t>Low / Medium</w:t>
            </w:r>
          </w:p>
        </w:tc>
        <w:tc>
          <w:tcPr>
            <w:tcW w:type="dxa" w:w="2376"/>
            <w:vAlign w:val="top"/>
          </w:tcPr>
          <w:p>
            <w:pPr>
              <w:jc w:val="left"/>
            </w:pPr>
            <w:r/>
            <w:r>
              <w:rPr>
                <w:b w:val="0"/>
                <w:sz w:val="14"/>
              </w:rPr>
              <w:t>Keep a simple equipment defect log and PAT/service records where applicable.</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Fire</w:t>
            </w:r>
          </w:p>
        </w:tc>
        <w:tc>
          <w:tcPr>
            <w:tcW w:type="dxa" w:w="2088"/>
            <w:vAlign w:val="top"/>
          </w:tcPr>
          <w:p>
            <w:pPr>
              <w:jc w:val="left"/>
            </w:pPr>
            <w:r/>
            <w:r>
              <w:rPr>
                <w:b w:val="0"/>
                <w:sz w:val="14"/>
              </w:rPr>
              <w:t>Staff/customers could be harmed by fire from fryers, ovens, electrics, extraction, waste or poor housekeeping.</w:t>
            </w:r>
          </w:p>
        </w:tc>
        <w:tc>
          <w:tcPr>
            <w:tcW w:type="dxa" w:w="3096"/>
            <w:vAlign w:val="top"/>
          </w:tcPr>
          <w:p>
            <w:pPr>
              <w:jc w:val="left"/>
            </w:pPr>
            <w:r/>
            <w:r>
              <w:rPr>
                <w:b w:val="0"/>
                <w:sz w:val="14"/>
              </w:rPr>
              <w:t>Fire exits kept clear; extinguishers/fire blanket available; extraction cleaned; waste removed; staff know alarm/evacuation process; gas/electric isolation points known.</w:t>
            </w:r>
          </w:p>
        </w:tc>
        <w:tc>
          <w:tcPr>
            <w:tcW w:type="dxa" w:w="1296"/>
            <w:vAlign w:val="top"/>
          </w:tcPr>
          <w:p>
            <w:pPr>
              <w:jc w:val="left"/>
            </w:pPr>
            <w:r/>
            <w:r>
              <w:rPr>
                <w:b w:val="0"/>
                <w:sz w:val="14"/>
              </w:rPr>
              <w:t>Medium</w:t>
            </w:r>
          </w:p>
        </w:tc>
        <w:tc>
          <w:tcPr>
            <w:tcW w:type="dxa" w:w="2376"/>
            <w:vAlign w:val="top"/>
          </w:tcPr>
          <w:p>
            <w:pPr>
              <w:jc w:val="left"/>
            </w:pPr>
            <w:r/>
            <w:r>
              <w:rPr>
                <w:b w:val="0"/>
                <w:sz w:val="14"/>
              </w:rPr>
              <w:t>Review fire risk assessment separately and train staff on emergency actions.</w:t>
            </w:r>
          </w:p>
        </w:tc>
        <w:tc>
          <w:tcPr>
            <w:tcW w:type="dxa" w:w="1512"/>
            <w:vAlign w:val="top"/>
          </w:tcPr>
          <w:p>
            <w:pPr>
              <w:jc w:val="left"/>
            </w:pPr>
            <w:r/>
            <w:r>
              <w:rPr>
                <w:b w:val="0"/>
                <w:sz w:val="14"/>
              </w:rPr>
            </w:r>
          </w:p>
        </w:tc>
        <w:tc>
          <w:tcPr>
            <w:tcW w:type="dxa" w:w="1440"/>
            <w:vAlign w:val="top"/>
          </w:tcPr>
          <w:p>
            <w:pPr>
              <w:jc w:val="left"/>
            </w:pPr>
            <w:r/>
            <w:r>
              <w:rPr>
                <w:b w:val="0"/>
                <w:sz w:val="14"/>
              </w:rPr>
            </w:r>
          </w:p>
        </w:tc>
      </w:tr>
    </w:tbl>
    <w:p>
      <w:pPr>
        <w:spacing w:before="160"/>
      </w:pPr>
      <w:r>
        <w:rPr>
          <w:b/>
          <w:sz w:val="20"/>
        </w:rPr>
        <w:t>Add your own site-specific hazards below</w:t>
      </w:r>
    </w:p>
    <w:tbl>
      <w:tblPr>
        <w:tblW w:type="auto" w:w="0"/>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1563"/>
        <w:gridCol w:w="1563"/>
        <w:gridCol w:w="1563"/>
        <w:gridCol w:w="1563"/>
        <w:gridCol w:w="1563"/>
        <w:gridCol w:w="1563"/>
        <w:gridCol w:w="1563"/>
      </w:tblGrid>
      <w:tr>
        <w:tc>
          <w:tcPr>
            <w:tcW w:type="dxa" w:w="1563"/>
            <w:shd w:fill="f1f5f9"/>
          </w:tcPr>
          <w:p>
            <w:pPr>
              <w:jc w:val="left"/>
            </w:pPr>
            <w:r/>
            <w:r>
              <w:rPr>
                <w:b/>
                <w:color w:val="020617"/>
                <w:sz w:val="14"/>
              </w:rPr>
              <w:t>Hazard</w:t>
            </w:r>
          </w:p>
        </w:tc>
        <w:tc>
          <w:tcPr>
            <w:tcW w:type="dxa" w:w="1563"/>
            <w:shd w:fill="f1f5f9"/>
          </w:tcPr>
          <w:p>
            <w:pPr>
              <w:jc w:val="left"/>
            </w:pPr>
            <w:r/>
            <w:r>
              <w:rPr>
                <w:b/>
                <w:color w:val="020617"/>
                <w:sz w:val="14"/>
              </w:rPr>
              <w:t>Who may be harmed / how</w:t>
            </w:r>
          </w:p>
        </w:tc>
        <w:tc>
          <w:tcPr>
            <w:tcW w:type="dxa" w:w="1563"/>
            <w:shd w:fill="f1f5f9"/>
          </w:tcPr>
          <w:p>
            <w:pPr>
              <w:jc w:val="left"/>
            </w:pPr>
            <w:r/>
            <w:r>
              <w:rPr>
                <w:b/>
                <w:color w:val="020617"/>
                <w:sz w:val="14"/>
              </w:rPr>
              <w:t>Existing controls</w:t>
            </w:r>
          </w:p>
        </w:tc>
        <w:tc>
          <w:tcPr>
            <w:tcW w:type="dxa" w:w="1563"/>
            <w:shd w:fill="f1f5f9"/>
          </w:tcPr>
          <w:p>
            <w:pPr>
              <w:jc w:val="left"/>
            </w:pPr>
            <w:r/>
            <w:r>
              <w:rPr>
                <w:b/>
                <w:color w:val="020617"/>
                <w:sz w:val="14"/>
              </w:rPr>
              <w:t>Risk after controls</w:t>
            </w:r>
          </w:p>
        </w:tc>
        <w:tc>
          <w:tcPr>
            <w:tcW w:type="dxa" w:w="1563"/>
            <w:shd w:fill="f1f5f9"/>
          </w:tcPr>
          <w:p>
            <w:pPr>
              <w:jc w:val="left"/>
            </w:pPr>
            <w:r/>
            <w:r>
              <w:rPr>
                <w:b/>
                <w:color w:val="020617"/>
                <w:sz w:val="14"/>
              </w:rPr>
              <w:t>Further action needed</w:t>
            </w:r>
          </w:p>
        </w:tc>
        <w:tc>
          <w:tcPr>
            <w:tcW w:type="dxa" w:w="1563"/>
            <w:shd w:fill="f1f5f9"/>
          </w:tcPr>
          <w:p>
            <w:pPr>
              <w:jc w:val="left"/>
            </w:pPr>
            <w:r/>
            <w:r>
              <w:rPr>
                <w:b/>
                <w:color w:val="020617"/>
                <w:sz w:val="14"/>
              </w:rPr>
              <w:t>Person responsible</w:t>
            </w:r>
          </w:p>
        </w:tc>
        <w:tc>
          <w:tcPr>
            <w:tcW w:type="dxa" w:w="1563"/>
            <w:shd w:fill="f1f5f9"/>
          </w:tcPr>
          <w:p>
            <w:pPr>
              <w:jc w:val="left"/>
            </w:pPr>
            <w:r/>
            <w:r>
              <w:rPr>
                <w:b/>
                <w:color w:val="020617"/>
                <w:sz w:val="14"/>
              </w:rPr>
              <w:t>Review / done date</w:t>
            </w:r>
          </w:p>
        </w:tc>
      </w:tr>
      <w:tr>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r>
      <w:tr>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r>
      <w:tr>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r>
    </w:tbl>
    <w:p/>
    <w:p>
      <w:r>
        <w:rPr>
          <w:b/>
          <w:sz w:val="22"/>
        </w:rPr>
        <w:t>Sign-off</w:t>
      </w:r>
    </w:p>
    <w:tbl>
      <w:tblPr>
        <w:tblW w:type="auto" w:w="0"/>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2736"/>
        <w:gridCol w:w="2736"/>
        <w:gridCol w:w="2736"/>
        <w:gridCol w:w="2736"/>
      </w:tblGrid>
      <w:tr>
        <w:tc>
          <w:tcPr>
            <w:tcW w:type="dxa" w:w="2736"/>
            <w:shd w:fill="020617"/>
          </w:tcPr>
          <w:p>
            <w:pPr>
              <w:jc w:val="left"/>
            </w:pPr>
            <w:r/>
            <w:r>
              <w:rPr>
                <w:b/>
                <w:color w:val="FFFFFF"/>
                <w:sz w:val="16"/>
              </w:rPr>
              <w:t>Name</w:t>
            </w:r>
          </w:p>
        </w:tc>
        <w:tc>
          <w:tcPr>
            <w:tcW w:type="dxa" w:w="2736"/>
            <w:shd w:fill="020617"/>
          </w:tcPr>
          <w:p>
            <w:pPr>
              <w:jc w:val="left"/>
            </w:pPr>
            <w:r/>
            <w:r>
              <w:rPr>
                <w:b/>
                <w:color w:val="FFFFFF"/>
                <w:sz w:val="16"/>
              </w:rPr>
              <w:t>Role</w:t>
            </w:r>
          </w:p>
        </w:tc>
        <w:tc>
          <w:tcPr>
            <w:tcW w:type="dxa" w:w="2736"/>
            <w:shd w:fill="020617"/>
          </w:tcPr>
          <w:p>
            <w:pPr>
              <w:jc w:val="left"/>
            </w:pPr>
            <w:r/>
            <w:r>
              <w:rPr>
                <w:b/>
                <w:color w:val="FFFFFF"/>
                <w:sz w:val="16"/>
              </w:rPr>
              <w:t>Signature</w:t>
            </w:r>
          </w:p>
        </w:tc>
        <w:tc>
          <w:tcPr>
            <w:tcW w:type="dxa" w:w="2736"/>
            <w:shd w:fill="020617"/>
          </w:tcPr>
          <w:p>
            <w:pPr>
              <w:jc w:val="left"/>
            </w:pPr>
            <w:r/>
            <w:r>
              <w:rPr>
                <w:b/>
                <w:color w:val="FFFFFF"/>
                <w:sz w:val="16"/>
              </w:rPr>
              <w:t>Date</w:t>
            </w:r>
          </w:p>
        </w:tc>
      </w:tr>
      <w:tr>
        <w:tc>
          <w:tcPr>
            <w:tcW w:type="dxa" w:w="2736"/>
          </w:tcPr>
          <w:p>
            <w:pPr>
              <w:jc w:val="left"/>
            </w:pPr>
            <w:r/>
            <w:r>
              <w:rPr>
                <w:b w:val="0"/>
                <w:sz w:val="16"/>
              </w:rPr>
              <w:br/>
            </w:r>
          </w:p>
        </w:tc>
        <w:tc>
          <w:tcPr>
            <w:tcW w:type="dxa" w:w="2736"/>
          </w:tcPr>
          <w:p>
            <w:pPr>
              <w:jc w:val="left"/>
            </w:pPr>
            <w:r/>
            <w:r>
              <w:rPr>
                <w:b w:val="0"/>
                <w:sz w:val="16"/>
              </w:rPr>
              <w:br/>
            </w:r>
          </w:p>
        </w:tc>
        <w:tc>
          <w:tcPr>
            <w:tcW w:type="dxa" w:w="2736"/>
          </w:tcPr>
          <w:p>
            <w:pPr>
              <w:jc w:val="left"/>
            </w:pPr>
            <w:r/>
            <w:r>
              <w:rPr>
                <w:b w:val="0"/>
                <w:sz w:val="16"/>
              </w:rPr>
              <w:br/>
            </w:r>
          </w:p>
        </w:tc>
        <w:tc>
          <w:tcPr>
            <w:tcW w:type="dxa" w:w="2736"/>
          </w:tcPr>
          <w:p>
            <w:pPr>
              <w:jc w:val="left"/>
            </w:pPr>
            <w:r/>
            <w:r>
              <w:rPr>
                <w:b w:val="0"/>
                <w:sz w:val="16"/>
              </w:rPr>
              <w:br/>
            </w:r>
          </w:p>
        </w:tc>
      </w:tr>
    </w:tbl>
    <w:p>
      <w:pPr>
        <w:spacing w:before="160"/>
      </w:pPr>
      <w:r>
        <w:rPr>
          <w:b/>
          <w:sz w:val="15"/>
        </w:rPr>
        <w:t xml:space="preserve">Disclaimer: </w:t>
      </w:r>
      <w:r>
        <w:rPr>
          <w:color w:val="475569"/>
          <w:sz w:val="15"/>
        </w:rPr>
        <w:t>This template is general guidance only. It is not legal advice and should be adapted to your own premises, equipment, processes, staff, risk level and local authority requirements. Review regularly and after any significant change, incident, near miss or inspection feedback.</w:t>
      </w:r>
    </w:p>
    <w:sectPr w:rsidR="00FC693F" w:rsidRPr="0006063C" w:rsidSect="00034616">
      <w:headerReference w:type="default" r:id="rId9"/>
      <w:footerReference w:type="default" r:id="rId10"/>
      <w:pgSz w:w="12240" w:h="15840"/>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TempTake | Food safety records made simple | temptake.com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rPr>
        <w:b/>
        <w:color w:val="F97316"/>
        <w:sz w:val="22"/>
      </w:rPr>
      <w:t>TempTake</w:t>
    </w:r>
    <w:r>
      <w:rPr>
        <w:sz w:val="18"/>
      </w:rPr>
      <w:t xml:space="preserve">  |  Free Food Business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